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56BC7682" w:rsidR="00D57C8E" w:rsidRPr="00467AC1" w:rsidRDefault="00D57C8E" w:rsidP="005904BA">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396740">
              <w:rPr>
                <w:rFonts w:ascii="Arial" w:hAnsi="Arial" w:cs="Arial"/>
                <w:b/>
                <w:sz w:val="24"/>
                <w:lang w:val="en-US"/>
              </w:rPr>
              <w:t>6</w:t>
            </w:r>
            <w:r w:rsidR="00467AC1" w:rsidRPr="00467AC1">
              <w:rPr>
                <w:rFonts w:ascii="Arial" w:hAnsi="Arial" w:cs="Arial"/>
                <w:b/>
                <w:sz w:val="24"/>
                <w:lang w:val="en-US"/>
              </w:rPr>
              <w:t>B00</w:t>
            </w:r>
            <w:r w:rsidR="005904BA">
              <w:rPr>
                <w:rFonts w:ascii="Arial" w:hAnsi="Arial" w:cs="Arial"/>
                <w:b/>
                <w:sz w:val="24"/>
                <w:lang w:val="en-US"/>
              </w:rPr>
              <w:t>095</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53F03686" w:rsidR="00D57C8E" w:rsidRPr="00EE2373" w:rsidRDefault="00D57C8E" w:rsidP="00846239">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846239">
              <w:rPr>
                <w:rFonts w:ascii="Arial" w:hAnsi="Arial" w:cs="Arial"/>
                <w:b/>
              </w:rPr>
              <w:t>v</w:t>
            </w:r>
            <w:bookmarkStart w:id="0" w:name="_GoBack"/>
            <w:bookmarkEnd w:id="0"/>
            <w:r w:rsidR="000B492B">
              <w:rPr>
                <w:rFonts w:ascii="Arial" w:hAnsi="Arial" w:cs="Arial"/>
                <w:b/>
              </w:rPr>
              <w:t>endredi 13 février 2026</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2F419A73" w:rsidR="00D57C8E" w:rsidRPr="00EE2373" w:rsidRDefault="00D57C8E" w:rsidP="005904BA">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55383D" w:rsidRPr="0055383D">
              <w:rPr>
                <w:rFonts w:ascii="Arial" w:hAnsi="Arial" w:cs="Arial"/>
                <w:b/>
                <w:bCs/>
              </w:rPr>
              <w:t xml:space="preserve">Approvisionnement de </w:t>
            </w:r>
            <w:r w:rsidR="005904BA">
              <w:rPr>
                <w:rFonts w:ascii="Arial" w:hAnsi="Arial" w:cs="Arial"/>
                <w:b/>
                <w:bCs/>
              </w:rPr>
              <w:t>plaques de montage</w:t>
            </w:r>
            <w:r w:rsidR="0055383D" w:rsidRPr="0055383D">
              <w:rPr>
                <w:rFonts w:ascii="Arial" w:hAnsi="Arial" w:cs="Arial"/>
                <w:b/>
                <w:bCs/>
              </w:rPr>
              <w:t xml:space="preserve"> au profit de la Marine nationale</w:t>
            </w: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A239729" w:rsidR="005A16B4" w:rsidRPr="00EE2373" w:rsidRDefault="005904BA" w:rsidP="00411842">
            <w:pPr>
              <w:spacing w:before="40"/>
              <w:jc w:val="center"/>
              <w:rPr>
                <w:rFonts w:ascii="Arial" w:hAnsi="Arial" w:cs="Arial"/>
                <w:b/>
                <w:bCs/>
              </w:rPr>
            </w:pPr>
            <w:r>
              <w:rPr>
                <w:rFonts w:ascii="Arial" w:hAnsi="Arial" w:cs="Arial"/>
                <w:b/>
                <w:bCs/>
              </w:rPr>
              <w:t>3603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1D3F990C" w:rsidR="00D57C8E"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411842">
        <w:rPr>
          <w:rFonts w:ascii="Arial" w:hAnsi="Arial" w:cs="Arial"/>
          <w:caps w:val="0"/>
          <w:dstrike w:val="0"/>
          <w:szCs w:val="22"/>
        </w:rPr>
        <w:t>L</w:t>
      </w:r>
      <w:r w:rsidR="00D57C8E" w:rsidRPr="00411842">
        <w:rPr>
          <w:rFonts w:ascii="Arial" w:hAnsi="Arial" w:cs="Arial"/>
          <w:caps w:val="0"/>
          <w:dstrike w:val="0"/>
          <w:szCs w:val="22"/>
        </w:rPr>
        <w:t>e</w:t>
      </w:r>
      <w:r w:rsidR="00E316DC">
        <w:rPr>
          <w:rFonts w:ascii="Arial" w:hAnsi="Arial" w:cs="Arial"/>
          <w:caps w:val="0"/>
          <w:dstrike w:val="0"/>
          <w:szCs w:val="22"/>
        </w:rPr>
        <w:t>s Spécifications Générales d’Approvisionnement (SGA)</w:t>
      </w:r>
      <w:r w:rsidR="00D57C8E" w:rsidRPr="00411842">
        <w:rPr>
          <w:rFonts w:ascii="Arial" w:hAnsi="Arial" w:cs="Arial"/>
          <w:caps w:val="0"/>
          <w:dstrike w:val="0"/>
          <w:szCs w:val="22"/>
        </w:rPr>
        <w:t xml:space="preserve"> </w:t>
      </w:r>
      <w:r w:rsidR="00E316DC">
        <w:rPr>
          <w:rFonts w:ascii="Arial" w:hAnsi="Arial" w:cs="Arial"/>
          <w:caps w:val="0"/>
          <w:dstrike w:val="0"/>
          <w:szCs w:val="22"/>
        </w:rPr>
        <w:t>de rechanges standards (et ses annexes</w:t>
      </w:r>
      <w:r w:rsidR="00D57C8E" w:rsidRPr="00411842">
        <w:rPr>
          <w:rFonts w:ascii="Arial" w:hAnsi="Arial" w:cs="Arial"/>
          <w:caps w:val="0"/>
          <w:dstrike w:val="0"/>
          <w:szCs w:val="22"/>
        </w:rPr>
        <w:t>)</w:t>
      </w:r>
      <w:r w:rsidR="00E316DC">
        <w:rPr>
          <w:rFonts w:ascii="Arial" w:hAnsi="Arial" w:cs="Arial"/>
          <w:caps w:val="0"/>
          <w:dstrike w:val="0"/>
          <w:szCs w:val="22"/>
        </w:rPr>
        <w:t xml:space="preserve"> (document joint)</w:t>
      </w:r>
      <w:r w:rsidR="00D57C8E" w:rsidRPr="00411842">
        <w:rPr>
          <w:rFonts w:ascii="Arial" w:hAnsi="Arial" w:cs="Arial"/>
          <w:caps w:val="0"/>
          <w:dstrike w:val="0"/>
          <w:szCs w:val="22"/>
        </w:rPr>
        <w:t xml:space="preserve"> N° DSSFB</w:t>
      </w:r>
      <w:r w:rsidR="00E316DC">
        <w:rPr>
          <w:rFonts w:ascii="Arial" w:hAnsi="Arial" w:cs="Arial"/>
          <w:caps w:val="0"/>
          <w:dstrike w:val="0"/>
          <w:szCs w:val="22"/>
        </w:rPr>
        <w:t xml:space="preserve"> / </w:t>
      </w:r>
      <w:r w:rsidR="00582D3B" w:rsidRPr="00411842">
        <w:rPr>
          <w:rFonts w:ascii="Arial" w:hAnsi="Arial" w:cs="Arial"/>
          <w:caps w:val="0"/>
          <w:dstrike w:val="0"/>
          <w:szCs w:val="22"/>
        </w:rPr>
        <w:t>SDLOG</w:t>
      </w:r>
      <w:r w:rsidR="00E316DC">
        <w:rPr>
          <w:rFonts w:ascii="Arial" w:hAnsi="Arial" w:cs="Arial"/>
          <w:caps w:val="0"/>
          <w:dstrike w:val="0"/>
          <w:szCs w:val="22"/>
        </w:rPr>
        <w:t xml:space="preserve"> </w:t>
      </w:r>
      <w:r w:rsidR="00582D3B" w:rsidRPr="00411842">
        <w:rPr>
          <w:rFonts w:ascii="Arial" w:hAnsi="Arial" w:cs="Arial"/>
          <w:caps w:val="0"/>
          <w:dstrike w:val="0"/>
          <w:szCs w:val="22"/>
        </w:rPr>
        <w:t>/</w:t>
      </w:r>
      <w:r w:rsidR="00E316DC">
        <w:rPr>
          <w:rFonts w:ascii="Arial" w:hAnsi="Arial" w:cs="Arial"/>
          <w:caps w:val="0"/>
          <w:dstrike w:val="0"/>
          <w:szCs w:val="22"/>
        </w:rPr>
        <w:t xml:space="preserve"> </w:t>
      </w:r>
      <w:r w:rsidR="00582D3B" w:rsidRPr="00411842">
        <w:rPr>
          <w:rFonts w:ascii="Arial" w:hAnsi="Arial" w:cs="Arial"/>
          <w:caps w:val="0"/>
          <w:dstrike w:val="0"/>
          <w:szCs w:val="22"/>
        </w:rPr>
        <w:t>260</w:t>
      </w:r>
      <w:r w:rsidR="00E316DC">
        <w:rPr>
          <w:rFonts w:ascii="Arial" w:hAnsi="Arial" w:cs="Arial"/>
          <w:caps w:val="0"/>
          <w:dstrike w:val="0"/>
          <w:szCs w:val="22"/>
        </w:rPr>
        <w:t xml:space="preserve"> </w:t>
      </w:r>
      <w:r w:rsidR="00582D3B" w:rsidRPr="00411842">
        <w:rPr>
          <w:rFonts w:ascii="Arial" w:hAnsi="Arial" w:cs="Arial"/>
          <w:caps w:val="0"/>
          <w:dstrike w:val="0"/>
          <w:szCs w:val="22"/>
        </w:rPr>
        <w:t>/</w:t>
      </w:r>
      <w:r w:rsidR="00E316DC">
        <w:rPr>
          <w:rFonts w:ascii="Arial" w:hAnsi="Arial" w:cs="Arial"/>
          <w:caps w:val="0"/>
          <w:dstrike w:val="0"/>
          <w:szCs w:val="22"/>
        </w:rPr>
        <w:t xml:space="preserve"> </w:t>
      </w:r>
      <w:r w:rsidRPr="00411842">
        <w:rPr>
          <w:rFonts w:ascii="Arial" w:hAnsi="Arial" w:cs="Arial"/>
          <w:caps w:val="0"/>
          <w:dstrike w:val="0"/>
          <w:szCs w:val="22"/>
        </w:rPr>
        <w:t xml:space="preserve">O </w:t>
      </w:r>
      <w:r w:rsidR="00AE3691" w:rsidRPr="00411842">
        <w:rPr>
          <w:rFonts w:ascii="Arial" w:hAnsi="Arial" w:cs="Arial"/>
          <w:caps w:val="0"/>
          <w:dstrike w:val="0"/>
          <w:szCs w:val="22"/>
        </w:rPr>
        <w:t>;</w:t>
      </w:r>
    </w:p>
    <w:p w14:paraId="5BF42FEF" w14:textId="403D273A" w:rsidR="00E316DC" w:rsidRPr="00E316DC" w:rsidRDefault="00E316DC" w:rsidP="00E316DC">
      <w:pPr>
        <w:pStyle w:val="Euro"/>
        <w:numPr>
          <w:ilvl w:val="0"/>
          <w:numId w:val="13"/>
        </w:numPr>
        <w:tabs>
          <w:tab w:val="clear" w:pos="360"/>
        </w:tabs>
        <w:spacing w:before="0" w:after="0"/>
        <w:ind w:left="1134" w:right="-28" w:hanging="283"/>
        <w:rPr>
          <w:rFonts w:ascii="Arial" w:hAnsi="Arial" w:cs="Arial"/>
          <w:caps w:val="0"/>
          <w:dstrike w:val="0"/>
          <w:szCs w:val="22"/>
        </w:rPr>
      </w:pPr>
      <w:r>
        <w:tab/>
      </w:r>
      <w:r w:rsidRPr="00411842">
        <w:rPr>
          <w:rFonts w:ascii="Arial" w:hAnsi="Arial" w:cs="Arial"/>
          <w:caps w:val="0"/>
          <w:dstrike w:val="0"/>
          <w:szCs w:val="22"/>
        </w:rPr>
        <w:t xml:space="preserve">Le </w:t>
      </w:r>
      <w:r>
        <w:rPr>
          <w:rFonts w:ascii="Arial" w:hAnsi="Arial" w:cs="Arial"/>
          <w:caps w:val="0"/>
          <w:dstrike w:val="0"/>
          <w:szCs w:val="22"/>
        </w:rPr>
        <w:t>C</w:t>
      </w:r>
      <w:r w:rsidRPr="00411842">
        <w:rPr>
          <w:rFonts w:ascii="Arial" w:hAnsi="Arial" w:cs="Arial"/>
          <w:caps w:val="0"/>
          <w:dstrike w:val="0"/>
          <w:szCs w:val="22"/>
        </w:rPr>
        <w:t>ahier des Clau</w:t>
      </w:r>
      <w:r>
        <w:rPr>
          <w:rFonts w:ascii="Arial" w:hAnsi="Arial" w:cs="Arial"/>
          <w:caps w:val="0"/>
          <w:dstrike w:val="0"/>
          <w:szCs w:val="22"/>
        </w:rPr>
        <w:t>ses Techniques Particulières (C.</w:t>
      </w:r>
      <w:r w:rsidRPr="00411842">
        <w:rPr>
          <w:rFonts w:ascii="Arial" w:hAnsi="Arial" w:cs="Arial"/>
          <w:caps w:val="0"/>
          <w:dstrike w:val="0"/>
          <w:szCs w:val="22"/>
        </w:rPr>
        <w:t>C</w:t>
      </w:r>
      <w:r>
        <w:rPr>
          <w:rFonts w:ascii="Arial" w:hAnsi="Arial" w:cs="Arial"/>
          <w:caps w:val="0"/>
          <w:dstrike w:val="0"/>
          <w:szCs w:val="22"/>
        </w:rPr>
        <w:t>.</w:t>
      </w:r>
      <w:r w:rsidRPr="00411842">
        <w:rPr>
          <w:rFonts w:ascii="Arial" w:hAnsi="Arial" w:cs="Arial"/>
          <w:caps w:val="0"/>
          <w:dstrike w:val="0"/>
          <w:szCs w:val="22"/>
        </w:rPr>
        <w:t>T</w:t>
      </w:r>
      <w:r>
        <w:rPr>
          <w:rFonts w:ascii="Arial" w:hAnsi="Arial" w:cs="Arial"/>
          <w:caps w:val="0"/>
          <w:dstrike w:val="0"/>
          <w:szCs w:val="22"/>
        </w:rPr>
        <w:t>.</w:t>
      </w:r>
      <w:r w:rsidRPr="00411842">
        <w:rPr>
          <w:rFonts w:ascii="Arial" w:hAnsi="Arial" w:cs="Arial"/>
          <w:caps w:val="0"/>
          <w:dstrike w:val="0"/>
          <w:szCs w:val="22"/>
        </w:rPr>
        <w:t xml:space="preserve">P) </w:t>
      </w:r>
      <w:r>
        <w:rPr>
          <w:rFonts w:ascii="Arial" w:hAnsi="Arial" w:cs="Arial"/>
          <w:caps w:val="0"/>
          <w:dstrike w:val="0"/>
          <w:szCs w:val="22"/>
        </w:rPr>
        <w:t>relatif à la fabrication des chaines de mouillage, d’amarrage et leurs accessoires pour les unités de la marine nationale</w:t>
      </w:r>
      <w:r w:rsidRPr="00411842">
        <w:rPr>
          <w:rFonts w:ascii="Arial" w:hAnsi="Arial" w:cs="Arial"/>
          <w:caps w:val="0"/>
          <w:dstrike w:val="0"/>
          <w:szCs w:val="22"/>
        </w:rPr>
        <w:t xml:space="preserve"> (document joint) N° DSSFB</w:t>
      </w:r>
      <w:r>
        <w:rPr>
          <w:rFonts w:ascii="Arial" w:hAnsi="Arial" w:cs="Arial"/>
          <w:caps w:val="0"/>
          <w:dstrike w:val="0"/>
          <w:szCs w:val="22"/>
        </w:rPr>
        <w:t xml:space="preserve"> / </w:t>
      </w:r>
      <w:r w:rsidRPr="00411842">
        <w:rPr>
          <w:rFonts w:ascii="Arial" w:hAnsi="Arial" w:cs="Arial"/>
          <w:caps w:val="0"/>
          <w:dstrike w:val="0"/>
          <w:szCs w:val="22"/>
        </w:rPr>
        <w:t>SDL</w:t>
      </w:r>
      <w:r>
        <w:rPr>
          <w:rFonts w:ascii="Arial" w:hAnsi="Arial" w:cs="Arial"/>
          <w:caps w:val="0"/>
          <w:dstrike w:val="0"/>
          <w:szCs w:val="22"/>
        </w:rPr>
        <w:t xml:space="preserve"> </w:t>
      </w:r>
      <w:r w:rsidRPr="00411842">
        <w:rPr>
          <w:rFonts w:ascii="Arial" w:hAnsi="Arial" w:cs="Arial"/>
          <w:caps w:val="0"/>
          <w:dstrike w:val="0"/>
          <w:szCs w:val="22"/>
        </w:rPr>
        <w:t>/</w:t>
      </w:r>
      <w:r>
        <w:rPr>
          <w:rFonts w:ascii="Arial" w:hAnsi="Arial" w:cs="Arial"/>
          <w:caps w:val="0"/>
          <w:dstrike w:val="0"/>
          <w:szCs w:val="22"/>
        </w:rPr>
        <w:t xml:space="preserve"> 518 / indice E</w:t>
      </w:r>
      <w:r w:rsidRPr="00411842">
        <w:rPr>
          <w:rFonts w:ascii="Arial" w:hAnsi="Arial" w:cs="Arial"/>
          <w:caps w:val="0"/>
          <w:dstrike w:val="0"/>
          <w:szCs w:val="22"/>
        </w:rPr>
        <w:t xml:space="preserve"> ;</w:t>
      </w:r>
    </w:p>
    <w:p w14:paraId="0C4FCF07" w14:textId="1D9FAD5C"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w:t>
      </w:r>
      <w:r w:rsidR="00E316DC">
        <w:rPr>
          <w:rFonts w:ascii="Arial" w:hAnsi="Arial" w:cs="Arial"/>
          <w:sz w:val="22"/>
          <w:szCs w:val="22"/>
        </w:rPr>
        <w:t>C</w:t>
      </w:r>
      <w:r w:rsidR="00D57C8E" w:rsidRPr="00EE2373">
        <w:rPr>
          <w:rFonts w:ascii="Arial" w:hAnsi="Arial" w:cs="Arial"/>
          <w:sz w:val="22"/>
          <w:szCs w:val="22"/>
        </w:rPr>
        <w:t xml:space="preserve">ahier des </w:t>
      </w:r>
      <w:r w:rsidR="00E316DC">
        <w:rPr>
          <w:rFonts w:ascii="Arial" w:hAnsi="Arial" w:cs="Arial"/>
          <w:sz w:val="22"/>
          <w:szCs w:val="22"/>
        </w:rPr>
        <w:t>C</w:t>
      </w:r>
      <w:r w:rsidR="00D57C8E" w:rsidRPr="00EE2373">
        <w:rPr>
          <w:rFonts w:ascii="Arial" w:hAnsi="Arial" w:cs="Arial"/>
          <w:sz w:val="22"/>
          <w:szCs w:val="22"/>
        </w:rPr>
        <w:t xml:space="preserve">lauses </w:t>
      </w:r>
      <w:r w:rsidR="00E316DC">
        <w:rPr>
          <w:rFonts w:ascii="Arial" w:hAnsi="Arial" w:cs="Arial"/>
          <w:sz w:val="22"/>
          <w:szCs w:val="22"/>
        </w:rPr>
        <w:t>A</w:t>
      </w:r>
      <w:r w:rsidR="00D57C8E" w:rsidRPr="00EE2373">
        <w:rPr>
          <w:rFonts w:ascii="Arial" w:hAnsi="Arial" w:cs="Arial"/>
          <w:sz w:val="22"/>
          <w:szCs w:val="22"/>
        </w:rPr>
        <w:t xml:space="preserve">dministratives </w:t>
      </w:r>
      <w:r w:rsidR="00E316DC">
        <w:rPr>
          <w:rFonts w:ascii="Arial" w:hAnsi="Arial" w:cs="Arial"/>
          <w:sz w:val="22"/>
          <w:szCs w:val="22"/>
        </w:rPr>
        <w:t>G</w:t>
      </w:r>
      <w:r w:rsidR="00D57C8E" w:rsidRPr="00EE2373">
        <w:rPr>
          <w:rFonts w:ascii="Arial" w:hAnsi="Arial" w:cs="Arial"/>
          <w:sz w:val="22"/>
          <w:szCs w:val="22"/>
        </w:rPr>
        <w:t xml:space="preserve">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56FBAF8D"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r w:rsidR="00396740">
        <w:rPr>
          <w:rFonts w:ascii="Arial" w:hAnsi="Arial" w:cs="Arial"/>
          <w:caps w:val="0"/>
          <w:dstrike w:val="0"/>
          <w:szCs w:val="22"/>
        </w:rPr>
        <w:t>,</w:t>
      </w:r>
    </w:p>
    <w:p w14:paraId="108A97E1" w14:textId="0F5BA804" w:rsidR="00396740" w:rsidRPr="00396740" w:rsidRDefault="00396740" w:rsidP="00396740">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396740">
        <w:rPr>
          <w:rFonts w:ascii="Arial" w:hAnsi="Arial" w:cs="Arial"/>
          <w:caps w:val="0"/>
          <w:dstrike w:val="0"/>
          <w:szCs w:val="22"/>
        </w:rPr>
        <w:tab/>
        <w:t>Le code SH (Système Harmonisé).</w:t>
      </w:r>
    </w:p>
    <w:p w14:paraId="5796ACC3" w14:textId="68C59878"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E548BC">
        <w:rPr>
          <w:rFonts w:cs="Arial"/>
          <w:sz w:val="22"/>
          <w:szCs w:val="22"/>
          <w:lang w:val="fr-FR"/>
        </w:rPr>
        <w:t xml:space="preserve">e </w:t>
      </w:r>
      <w:r w:rsidR="00E548BC">
        <w:rPr>
          <w:rFonts w:cs="Arial"/>
          <w:b/>
          <w:color w:val="0070C0"/>
          <w:sz w:val="22"/>
          <w:szCs w:val="22"/>
          <w:lang w:val="fr-FR"/>
        </w:rPr>
        <w:t xml:space="preserve">février </w:t>
      </w:r>
      <w:r w:rsidR="00993040" w:rsidRPr="006F0BC3">
        <w:rPr>
          <w:rFonts w:cs="Arial"/>
          <w:b/>
          <w:color w:val="0070C0"/>
          <w:sz w:val="22"/>
          <w:szCs w:val="22"/>
          <w:lang w:val="fr-FR"/>
        </w:rPr>
        <w:t>202</w:t>
      </w:r>
      <w:r w:rsidR="00E548BC">
        <w:rPr>
          <w:rFonts w:cs="Arial"/>
          <w:b/>
          <w:color w:val="0070C0"/>
          <w:sz w:val="22"/>
          <w:szCs w:val="22"/>
          <w:lang w:val="fr-FR"/>
        </w:rPr>
        <w:t>6</w:t>
      </w:r>
      <w:r w:rsidR="00456A5E" w:rsidRPr="006F0BC3">
        <w:rPr>
          <w:rFonts w:cs="Arial"/>
          <w:color w:val="0070C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D60C53B" w:rsidR="00BA5DF3"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w:t>
      </w:r>
      <w:r w:rsidR="00E548BC">
        <w:rPr>
          <w:rFonts w:ascii="Arial" w:hAnsi="Arial" w:cs="Arial"/>
          <w:bCs/>
          <w:sz w:val="22"/>
          <w:szCs w:val="22"/>
        </w:rPr>
        <w:t xml:space="preserve"> date d'établissement des prix.</w:t>
      </w:r>
    </w:p>
    <w:p w14:paraId="047B59E1" w14:textId="77777777" w:rsidR="00E548BC" w:rsidRPr="004C36E5" w:rsidRDefault="00E548BC" w:rsidP="00BA5DF3">
      <w:pPr>
        <w:spacing w:before="120" w:after="120"/>
        <w:ind w:left="902"/>
        <w:jc w:val="both"/>
        <w:rPr>
          <w:rFonts w:ascii="Arial" w:hAnsi="Arial" w:cs="Arial"/>
          <w:bCs/>
          <w:sz w:val="22"/>
          <w:szCs w:val="22"/>
        </w:rPr>
      </w:pP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lastRenderedPageBreak/>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5BB5097F"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B3A2195" w14:textId="77777777" w:rsidR="00E548BC" w:rsidRPr="00E548BC" w:rsidRDefault="00E548BC" w:rsidP="00E548BC"/>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Pr="00E548BC" w:rsidRDefault="00107D43" w:rsidP="00EB42C1">
      <w:pPr>
        <w:pStyle w:val="Corpsdetexte"/>
        <w:spacing w:after="60" w:line="240" w:lineRule="auto"/>
        <w:ind w:left="567" w:right="-28"/>
        <w:jc w:val="both"/>
        <w:rPr>
          <w:rFonts w:cs="Arial"/>
          <w:sz w:val="16"/>
          <w:szCs w:val="16"/>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lastRenderedPageBreak/>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11AD53F"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6pt;height:18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4E98D113"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16.8pt;height:18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6pt" o:ole="" fillcolor="window">
            <v:imagedata r:id="rId19" o:title=""/>
          </v:shape>
          <o:OLEObject Type="Embed" ProgID="Equation.3" ShapeID="_x0000_i1029" DrawAspect="Content" ObjectID="_1832498583"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8393C10"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396740">
      <w:rPr>
        <w:rStyle w:val="Numrodepage"/>
      </w:rPr>
      <w:t>6</w:t>
    </w:r>
    <w:r w:rsidR="00467AC1">
      <w:rPr>
        <w:rStyle w:val="Numrodepage"/>
      </w:rPr>
      <w:t>B00</w:t>
    </w:r>
    <w:r w:rsidR="005904BA">
      <w:rPr>
        <w:rStyle w:val="Numrodepage"/>
      </w:rPr>
      <w:t>095</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84623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84623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704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B492B"/>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96740"/>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04BA"/>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23F2"/>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6239"/>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16DC"/>
    <w:rsid w:val="00E3578A"/>
    <w:rsid w:val="00E46502"/>
    <w:rsid w:val="00E51BC9"/>
    <w:rsid w:val="00E548BC"/>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704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A286D-7B4D-4F24-8EE0-553917573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9</Pages>
  <Words>3795</Words>
  <Characters>20779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24525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PICHERIE Nicolas SA CS MINDEF</cp:lastModifiedBy>
  <cp:revision>35</cp:revision>
  <cp:lastPrinted>2024-10-07T14:28:00Z</cp:lastPrinted>
  <dcterms:created xsi:type="dcterms:W3CDTF">2024-06-14T13:12:00Z</dcterms:created>
  <dcterms:modified xsi:type="dcterms:W3CDTF">2026-02-13T13:37:00Z</dcterms:modified>
</cp:coreProperties>
</file>